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0"/>
        </w:rPr>
      </w:pPr>
      <w:r>
        <w:rPr>
          <w:szCs w:val="20"/>
        </w:rPr>
      </w:r>
    </w:p>
    <w:p>
      <w:pPr>
        <w:pStyle w:val="Normal"/>
        <w:jc w:val="center"/>
        <w:rPr/>
      </w:pPr>
      <w:r>
        <w:rPr>
          <w:b/>
          <w:color w:val="C00000"/>
          <w:szCs w:val="20"/>
          <w:u w:val="single"/>
        </w:rPr>
        <w:t xml:space="preserve">LO MEJOR DE GRECIA </w:t>
      </w:r>
    </w:p>
    <w:p>
      <w:pPr>
        <w:pStyle w:val="Normal"/>
        <w:jc w:val="center"/>
        <w:rPr/>
      </w:pPr>
      <w:r>
        <w:rPr>
          <w:b/>
          <w:color w:val="C00000"/>
          <w:szCs w:val="20"/>
          <w:u w:val="single"/>
        </w:rPr>
        <w:t>OFERTA 2X1</w:t>
      </w:r>
    </w:p>
    <w:p>
      <w:pPr>
        <w:pStyle w:val="Normal"/>
        <w:jc w:val="center"/>
        <w:rPr/>
      </w:pPr>
      <w:r>
        <w:rPr/>
        <w:drawing>
          <wp:inline distT="0" distB="0" distL="19050" distR="3175">
            <wp:extent cx="3521075" cy="1623060"/>
            <wp:effectExtent l="0" t="0" r="0" b="0"/>
            <wp:docPr id="1" name="Imagen 1" descr="Image result for lo mejor de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 result for lo mejor de grecia"/>
                    <pic:cNvPicPr>
                      <a:picLocks noChangeAspect="1" noChangeArrowheads="1"/>
                    </pic:cNvPicPr>
                  </pic:nvPicPr>
                  <pic:blipFill>
                    <a:blip r:embed="rId2"/>
                    <a:stretch>
                      <a:fillRect/>
                    </a:stretch>
                  </pic:blipFill>
                  <pic:spPr bwMode="auto">
                    <a:xfrm>
                      <a:off x="0" y="0"/>
                      <a:ext cx="3521075" cy="1623060"/>
                    </a:xfrm>
                    <a:prstGeom prst="rect">
                      <a:avLst/>
                    </a:prstGeom>
                  </pic:spPr>
                </pic:pic>
              </a:graphicData>
            </a:graphic>
          </wp:inline>
        </w:drawing>
      </w:r>
    </w:p>
    <w:p>
      <w:pPr>
        <w:pStyle w:val="Normal"/>
        <w:rPr>
          <w:szCs w:val="20"/>
        </w:rPr>
      </w:pPr>
      <w:r>
        <w:rPr>
          <w:szCs w:val="20"/>
        </w:rPr>
      </w:r>
    </w:p>
    <w:p>
      <w:pPr>
        <w:pStyle w:val="Normal"/>
        <w:rPr/>
      </w:pPr>
      <w:r>
        <w:rPr>
          <w:b/>
          <w:szCs w:val="20"/>
          <w:u w:val="single"/>
        </w:rPr>
        <w:t>FECHA DE SALIDA:</w:t>
      </w:r>
      <w:r>
        <w:rPr>
          <w:szCs w:val="20"/>
        </w:rPr>
        <w:t xml:space="preserve"> </w:t>
      </w:r>
    </w:p>
    <w:p>
      <w:pPr>
        <w:pStyle w:val="ListParagraph"/>
        <w:numPr>
          <w:ilvl w:val="0"/>
          <w:numId w:val="5"/>
        </w:numPr>
        <w:rPr/>
      </w:pPr>
      <w:r>
        <w:rPr>
          <w:szCs w:val="20"/>
        </w:rPr>
        <w:t>21 al 28 de Julio</w:t>
      </w:r>
    </w:p>
    <w:p>
      <w:pPr>
        <w:pStyle w:val="ListParagraph"/>
        <w:numPr>
          <w:ilvl w:val="0"/>
          <w:numId w:val="5"/>
        </w:numPr>
        <w:rPr/>
      </w:pPr>
      <w:r>
        <w:rPr>
          <w:szCs w:val="20"/>
        </w:rPr>
        <w:t>04 al 11 de Agosto</w:t>
      </w:r>
    </w:p>
    <w:p>
      <w:pPr>
        <w:pStyle w:val="ListParagraph"/>
        <w:numPr>
          <w:ilvl w:val="0"/>
          <w:numId w:val="5"/>
        </w:numPr>
        <w:rPr/>
      </w:pPr>
      <w:r>
        <w:rPr>
          <w:szCs w:val="20"/>
        </w:rPr>
        <w:t>01 al 08 de Septiembre</w:t>
      </w:r>
    </w:p>
    <w:p>
      <w:pPr>
        <w:pStyle w:val="ListParagraph"/>
        <w:numPr>
          <w:ilvl w:val="0"/>
          <w:numId w:val="5"/>
        </w:numPr>
        <w:rPr/>
      </w:pPr>
      <w:r>
        <w:rPr>
          <w:szCs w:val="20"/>
        </w:rPr>
        <w:t>08 al 15 de Septiembre</w:t>
      </w:r>
    </w:p>
    <w:p>
      <w:pPr>
        <w:pStyle w:val="ListParagraph"/>
        <w:numPr>
          <w:ilvl w:val="0"/>
          <w:numId w:val="5"/>
        </w:numPr>
        <w:rPr/>
      </w:pPr>
      <w:r>
        <w:rPr>
          <w:szCs w:val="20"/>
        </w:rPr>
        <w:t>29 de Septiembre al 06 de Octubre</w:t>
      </w:r>
    </w:p>
    <w:p>
      <w:pPr>
        <w:pStyle w:val="Normal"/>
        <w:rPr/>
      </w:pPr>
      <w:r>
        <w:rPr>
          <w:b/>
          <w:szCs w:val="20"/>
          <w:u w:val="single"/>
        </w:rPr>
        <w:t>PRECIO POR HABITACION EN BASE A DOS PERSONAS</w:t>
      </w:r>
    </w:p>
    <w:tbl>
      <w:tblPr>
        <w:tblW w:w="9483" w:type="dxa"/>
        <w:jc w:val="left"/>
        <w:tblInd w:w="-10" w:type="dxa"/>
        <w:tblBorders>
          <w:top w:val="single" w:sz="8" w:space="0" w:color="000000"/>
          <w:left w:val="single" w:sz="8" w:space="0" w:color="000000"/>
        </w:tblBorders>
        <w:tblCellMar>
          <w:top w:w="0" w:type="dxa"/>
          <w:left w:w="98" w:type="dxa"/>
          <w:bottom w:w="0" w:type="dxa"/>
          <w:right w:w="108" w:type="dxa"/>
        </w:tblCellMar>
        <w:tblLook w:val="0000"/>
      </w:tblPr>
      <w:tblGrid>
        <w:gridCol w:w="3153"/>
        <w:gridCol w:w="3154"/>
        <w:gridCol w:w="3176"/>
      </w:tblGrid>
      <w:tr>
        <w:trPr>
          <w:trHeight w:val="560" w:hRule="atLeast"/>
        </w:trPr>
        <w:tc>
          <w:tcPr>
            <w:tcW w:w="3153" w:type="dxa"/>
            <w:tcBorders>
              <w:top w:val="single" w:sz="8" w:space="0" w:color="000000"/>
              <w:left w:val="single" w:sz="8" w:space="0" w:color="000000"/>
            </w:tcBorders>
            <w:shd w:color="auto" w:fill="000000" w:val="clear"/>
            <w:vAlign w:val="center"/>
          </w:tcPr>
          <w:p>
            <w:pPr>
              <w:pStyle w:val="NoSpacing"/>
              <w:jc w:val="center"/>
              <w:rPr/>
            </w:pPr>
            <w:r>
              <w:rPr/>
              <w:t>CATEGORÍA DE HOTELES</w:t>
            </w:r>
          </w:p>
        </w:tc>
        <w:tc>
          <w:tcPr>
            <w:tcW w:w="3154" w:type="dxa"/>
            <w:tcBorders>
              <w:top w:val="single" w:sz="8" w:space="0" w:color="000000"/>
            </w:tcBorders>
            <w:shd w:color="auto" w:fill="000000" w:val="clear"/>
            <w:vAlign w:val="center"/>
          </w:tcPr>
          <w:p>
            <w:pPr>
              <w:pStyle w:val="NoSpacing"/>
              <w:jc w:val="center"/>
              <w:rPr/>
            </w:pPr>
            <w:r>
              <w:rPr/>
              <w:t>PRECIO POR HABITACIÓN</w:t>
            </w:r>
          </w:p>
          <w:p>
            <w:pPr>
              <w:pStyle w:val="NoSpacing"/>
              <w:jc w:val="center"/>
              <w:rPr/>
            </w:pPr>
            <w:r>
              <w:rPr/>
              <w:t>(2 personas)</w:t>
            </w:r>
          </w:p>
        </w:tc>
        <w:tc>
          <w:tcPr>
            <w:tcW w:w="3176" w:type="dxa"/>
            <w:tcBorders>
              <w:top w:val="single" w:sz="8" w:space="0" w:color="000000"/>
              <w:right w:val="single" w:sz="8" w:space="0" w:color="000000"/>
              <w:insideV w:val="single" w:sz="8" w:space="0" w:color="000000"/>
            </w:tcBorders>
            <w:shd w:color="auto" w:fill="000000" w:val="clear"/>
            <w:vAlign w:val="center"/>
          </w:tcPr>
          <w:p>
            <w:pPr>
              <w:pStyle w:val="NoSpacing"/>
              <w:jc w:val="center"/>
              <w:rPr/>
            </w:pPr>
            <w:r>
              <w:rPr/>
              <w:t>FECHAS DE VIGENCIA</w:t>
            </w:r>
          </w:p>
        </w:tc>
      </w:tr>
      <w:tr>
        <w:trPr>
          <w:trHeight w:val="696" w:hRule="atLeast"/>
        </w:trPr>
        <w:tc>
          <w:tcPr>
            <w:tcW w:w="3153"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spacing w:before="0" w:after="200"/>
              <w:jc w:val="center"/>
              <w:rPr>
                <w:b/>
                <w:b/>
              </w:rPr>
            </w:pPr>
            <w:r>
              <w:rPr>
                <w:b/>
                <w:bCs/>
              </w:rPr>
              <w:t>4 estrellas</w:t>
            </w:r>
          </w:p>
        </w:tc>
        <w:tc>
          <w:tcPr>
            <w:tcW w:w="3154" w:type="dxa"/>
            <w:tcBorders>
              <w:top w:val="single" w:sz="8" w:space="0" w:color="000000"/>
              <w:bottom w:val="single" w:sz="8" w:space="0" w:color="000000"/>
              <w:insideH w:val="single" w:sz="8" w:space="0" w:color="000000"/>
            </w:tcBorders>
            <w:shd w:fill="auto" w:val="clear"/>
            <w:vAlign w:val="center"/>
          </w:tcPr>
          <w:p>
            <w:pPr>
              <w:pStyle w:val="Normal"/>
              <w:spacing w:before="0" w:after="200"/>
              <w:jc w:val="center"/>
              <w:rPr/>
            </w:pPr>
            <w:r>
              <w:rPr>
                <w:b/>
                <w:highlight w:val="yellow"/>
              </w:rPr>
              <w:t>USD 1889.00</w:t>
            </w:r>
          </w:p>
        </w:tc>
        <w:tc>
          <w:tcPr>
            <w:tcW w:w="317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200"/>
              <w:jc w:val="center"/>
              <w:rPr/>
            </w:pPr>
            <w:r>
              <w:rPr/>
              <w:t>Hasta Septiembre 2019</w:t>
            </w:r>
          </w:p>
        </w:tc>
      </w:tr>
    </w:tbl>
    <w:p>
      <w:pPr>
        <w:pStyle w:val="Normal"/>
        <w:rPr>
          <w:szCs w:val="20"/>
        </w:rPr>
      </w:pPr>
      <w:r>
        <w:rPr>
          <w:szCs w:val="20"/>
        </w:rPr>
      </w:r>
    </w:p>
    <w:p>
      <w:pPr>
        <w:pStyle w:val="Normal"/>
        <w:rPr>
          <w:b/>
          <w:b/>
          <w:szCs w:val="20"/>
          <w:u w:val="single"/>
        </w:rPr>
      </w:pPr>
      <w:r>
        <w:rPr>
          <w:b/>
          <w:szCs w:val="20"/>
          <w:u w:val="single"/>
        </w:rPr>
        <w:t>ITINERARIO</w:t>
      </w:r>
    </w:p>
    <w:p>
      <w:pPr>
        <w:pStyle w:val="NoSpacing"/>
        <w:jc w:val="both"/>
        <w:rPr/>
      </w:pPr>
      <w:r>
        <w:rPr>
          <w:b/>
          <w:lang w:val="es-ES"/>
        </w:rPr>
        <w:t>DIA 01.-ATENAS</w:t>
      </w:r>
    </w:p>
    <w:p>
      <w:pPr>
        <w:pStyle w:val="NoSpacing"/>
        <w:jc w:val="both"/>
        <w:rPr/>
      </w:pPr>
      <w:r>
        <w:rPr>
          <w:lang w:val="es-ES"/>
        </w:rPr>
        <w:t>Llegada al aeropuerto de Atenas y traslado al hotel. Alojamiento.</w:t>
      </w:r>
    </w:p>
    <w:p>
      <w:pPr>
        <w:pStyle w:val="NoSpacing"/>
        <w:jc w:val="both"/>
        <w:rPr>
          <w:lang w:val="es-ES"/>
        </w:rPr>
      </w:pPr>
      <w:r>
        <w:rPr>
          <w:lang w:val="es-ES"/>
        </w:rPr>
      </w:r>
    </w:p>
    <w:p>
      <w:pPr>
        <w:pStyle w:val="NoSpacing"/>
        <w:jc w:val="both"/>
        <w:rPr/>
      </w:pPr>
      <w:r>
        <w:rPr>
          <w:b/>
          <w:lang w:val="es-ES"/>
        </w:rPr>
        <w:t>DIA 02.- ATENAS- Visita de Ciudad ½Dia</w:t>
      </w:r>
    </w:p>
    <w:p>
      <w:pPr>
        <w:pStyle w:val="NoSpacing"/>
        <w:jc w:val="both"/>
        <w:rPr/>
      </w:pPr>
      <w:r>
        <w:rPr>
          <w:lang w:val="es-ES"/>
        </w:rPr>
        <w:t xml:space="preserve">Desayuno. Salida para realizar la Visita de Ciudad ½ Día: Acrópolis y Panorámica de Atenas. El Partenón, símbolo clásico de la  arquitectura, construido totalmente en mármol blanco. El Partenón es  el mayor templo erigido en honor a la diosa Atenea. El tour panorámico nos lleva por las partes más importantes de la ciudad como a la Tumba del  soldado  desconocido, el Parlamento y el Estadio Panatinaikon. Tarde libre. Alojamiento. </w:t>
      </w:r>
    </w:p>
    <w:p>
      <w:pPr>
        <w:pStyle w:val="NoSpacing"/>
        <w:jc w:val="both"/>
        <w:rPr>
          <w:b/>
          <w:b/>
          <w:lang w:val="es-ES"/>
        </w:rPr>
      </w:pPr>
      <w:r>
        <w:rPr>
          <w:b/>
          <w:lang w:val="es-ES"/>
        </w:rPr>
      </w:r>
    </w:p>
    <w:p>
      <w:pPr>
        <w:pStyle w:val="NoSpacing"/>
        <w:jc w:val="both"/>
        <w:rPr/>
      </w:pPr>
      <w:r>
        <w:rPr>
          <w:b/>
          <w:lang w:val="es-ES"/>
        </w:rPr>
        <w:t>DIA 03.-MIERCOLES ATENAS-EPIDAURO-MICENAS-OLYMPIA</w:t>
      </w:r>
    </w:p>
    <w:p>
      <w:pPr>
        <w:pStyle w:val="NoSpacing"/>
        <w:jc w:val="both"/>
        <w:rPr/>
      </w:pPr>
      <w:r>
        <w:rPr>
          <w:lang w:val="es-ES"/>
        </w:rPr>
        <w:t>Desayuno y salida para el  circuito de 3 días. Salida hacia el Canal de Corinto. Seguimos hacia Epidauro, donde se encuentra el famoso, por su acústica natural, el Teatro de Epidauro. A continuación llegamos a Micenas, una de las ciudades más famosas de la época prehistórica. Por la tarde llegada a Olympia. Cena y alojamiento en el hotel.</w:t>
      </w:r>
    </w:p>
    <w:p>
      <w:pPr>
        <w:pStyle w:val="NoSpacing"/>
        <w:jc w:val="both"/>
        <w:rPr>
          <w:b/>
          <w:b/>
          <w:lang w:val="es-ES"/>
        </w:rPr>
      </w:pPr>
      <w:r>
        <w:rPr>
          <w:b/>
          <w:lang w:val="es-ES"/>
        </w:rPr>
      </w:r>
    </w:p>
    <w:p>
      <w:pPr>
        <w:pStyle w:val="NoSpacing"/>
        <w:jc w:val="both"/>
        <w:rPr/>
      </w:pPr>
      <w:r>
        <w:rPr>
          <w:b/>
          <w:lang w:val="es-ES"/>
        </w:rPr>
        <w:t>DIA 04.-JUEVES OLYMPIA-DELFOS</w:t>
      </w:r>
    </w:p>
    <w:p>
      <w:pPr>
        <w:pStyle w:val="NoSpacing"/>
        <w:jc w:val="both"/>
        <w:rPr/>
      </w:pPr>
      <w:r>
        <w:rPr>
          <w:lang w:val="es-ES"/>
        </w:rPr>
        <w:t>Desayuno. Visita de la ciudad antigua de Olimpia, centro de veneración de Zeus, donde en la antigüedad se celebraban las competiciones olímpicas. Visita al Estadio y demás instalaciones olímpicas. También visitaremos el Museo de Olympia. Por la tarde llegada a Delfos. Cena y alojamiento en el hotel.</w:t>
      </w:r>
    </w:p>
    <w:p>
      <w:pPr>
        <w:pStyle w:val="NoSpacing"/>
        <w:jc w:val="both"/>
        <w:rPr>
          <w:lang w:val="es-ES"/>
        </w:rPr>
      </w:pPr>
      <w:r>
        <w:rPr>
          <w:lang w:val="es-ES"/>
        </w:rPr>
      </w:r>
    </w:p>
    <w:p>
      <w:pPr>
        <w:pStyle w:val="NoSpacing"/>
        <w:jc w:val="both"/>
        <w:rPr/>
      </w:pPr>
      <w:r>
        <w:rPr>
          <w:b/>
          <w:lang w:val="es-ES"/>
        </w:rPr>
        <w:t>DIA 05.-VIERNES DELFOS-KALAMBAKA</w:t>
      </w:r>
    </w:p>
    <w:p>
      <w:pPr>
        <w:pStyle w:val="NoSpacing"/>
        <w:jc w:val="both"/>
        <w:rPr/>
      </w:pPr>
      <w:r>
        <w:rPr>
          <w:lang w:val="es-ES"/>
        </w:rPr>
        <w:t xml:space="preserve">Desayuno. En Delfos visitaremos el Oráculo de Apolo, uno de los más sagrados santuarios de Grecia, situado en el monte Parnaso y el Museo en donde entre otras obras, veremos la famosa escultura de bronce “el Auriga de Delfos”. Por la tarde salida hacia Kalambaka. Llegada cena y alojamiento en el hotel. </w:t>
      </w:r>
    </w:p>
    <w:p>
      <w:pPr>
        <w:pStyle w:val="NoSpacing"/>
        <w:jc w:val="both"/>
        <w:rPr>
          <w:lang w:val="es-ES"/>
        </w:rPr>
      </w:pPr>
      <w:r>
        <w:rPr>
          <w:lang w:val="es-ES"/>
        </w:rPr>
      </w:r>
    </w:p>
    <w:p>
      <w:pPr>
        <w:pStyle w:val="NoSpacing"/>
        <w:jc w:val="both"/>
        <w:rPr/>
      </w:pPr>
      <w:r>
        <w:rPr>
          <w:b/>
          <w:lang w:val="es-ES"/>
        </w:rPr>
        <w:t>DIA 06.-SABADO KALAMBAKA-ATENAS</w:t>
      </w:r>
    </w:p>
    <w:p>
      <w:pPr>
        <w:pStyle w:val="NoSpacing"/>
        <w:jc w:val="both"/>
        <w:rPr/>
      </w:pPr>
      <w:r>
        <w:rPr>
          <w:lang w:val="es-ES"/>
        </w:rPr>
        <w:t>Desayuno. Visita de dos Monasterios colgantes de Meteora, centro religioso y monástico. De regreso a Atenas pasamos por Termópilas, donde veremos la estatua del Rey Espartano Leonidas. Regreso a Atenas por la tarde. Alojamiento.</w:t>
      </w:r>
    </w:p>
    <w:p>
      <w:pPr>
        <w:pStyle w:val="NoSpacing"/>
        <w:jc w:val="both"/>
        <w:rPr>
          <w:lang w:val="es-ES"/>
        </w:rPr>
      </w:pPr>
      <w:r>
        <w:rPr>
          <w:lang w:val="es-ES"/>
        </w:rPr>
      </w:r>
    </w:p>
    <w:p>
      <w:pPr>
        <w:pStyle w:val="NoSpacing"/>
        <w:jc w:val="both"/>
        <w:rPr/>
      </w:pPr>
      <w:r>
        <w:rPr>
          <w:b/>
          <w:lang w:val="es-ES"/>
        </w:rPr>
        <w:t xml:space="preserve">DIA 07.-  ATENAS  </w:t>
      </w:r>
    </w:p>
    <w:p>
      <w:pPr>
        <w:pStyle w:val="NoSpacing"/>
        <w:jc w:val="both"/>
        <w:rPr/>
      </w:pPr>
      <w:r>
        <w:rPr>
          <w:lang w:val="es-ES"/>
        </w:rPr>
        <w:t>Desayuno. Día libre. Alojamiento.</w:t>
      </w:r>
    </w:p>
    <w:p>
      <w:pPr>
        <w:pStyle w:val="NoSpacing"/>
        <w:jc w:val="both"/>
        <w:rPr>
          <w:lang w:val="es-ES"/>
        </w:rPr>
      </w:pPr>
      <w:r>
        <w:rPr>
          <w:lang w:val="es-ES"/>
        </w:rPr>
      </w:r>
    </w:p>
    <w:p>
      <w:pPr>
        <w:pStyle w:val="NoSpacing"/>
        <w:jc w:val="both"/>
        <w:rPr/>
      </w:pPr>
      <w:r>
        <w:rPr>
          <w:b/>
          <w:lang w:val="es-ES"/>
        </w:rPr>
        <w:t>DIA 08. - ATENAS-AEROPUERTO</w:t>
      </w:r>
    </w:p>
    <w:p>
      <w:pPr>
        <w:pStyle w:val="NoSpacing"/>
        <w:jc w:val="both"/>
        <w:rPr/>
      </w:pPr>
      <w:r>
        <w:rPr>
          <w:lang w:val="es-ES"/>
        </w:rPr>
        <w:t>Desayuno. A la hora acordada traslado al aeropuerto.</w:t>
      </w:r>
    </w:p>
    <w:p>
      <w:pPr>
        <w:pStyle w:val="NoSpacing"/>
        <w:jc w:val="both"/>
        <w:rPr>
          <w:lang w:val="es-ES"/>
        </w:rPr>
      </w:pPr>
      <w:r>
        <w:rPr>
          <w:lang w:val="es-ES"/>
        </w:rPr>
      </w:r>
    </w:p>
    <w:p>
      <w:pPr>
        <w:pStyle w:val="NoSpacing"/>
        <w:jc w:val="both"/>
        <w:rPr>
          <w:lang w:val="es-ES"/>
        </w:rPr>
      </w:pPr>
      <w:r>
        <w:rPr>
          <w:lang w:val="es-ES"/>
        </w:rPr>
      </w:r>
    </w:p>
    <w:p>
      <w:pPr>
        <w:pStyle w:val="NoSpacing"/>
        <w:jc w:val="both"/>
        <w:rPr>
          <w:b/>
          <w:b/>
          <w:u w:val="single"/>
          <w:lang w:val="es-ES"/>
        </w:rPr>
      </w:pPr>
      <w:r>
        <w:rPr>
          <w:b/>
          <w:u w:val="single"/>
          <w:lang w:val="es-ES"/>
        </w:rPr>
        <w:t>PRECIO INCLUYE</w:t>
      </w:r>
    </w:p>
    <w:p>
      <w:pPr>
        <w:pStyle w:val="NoSpacing"/>
        <w:jc w:val="both"/>
        <w:rPr>
          <w:lang w:val="es-ES"/>
        </w:rPr>
      </w:pPr>
      <w:r>
        <w:rPr>
          <w:lang w:val="es-ES"/>
        </w:rPr>
      </w:r>
    </w:p>
    <w:p>
      <w:pPr>
        <w:pStyle w:val="NoSpacing"/>
        <w:numPr>
          <w:ilvl w:val="0"/>
          <w:numId w:val="3"/>
        </w:numPr>
        <w:rPr/>
      </w:pPr>
      <w:r>
        <w:rPr>
          <w:lang w:val="es-AR"/>
        </w:rPr>
        <w:t>Traslados Apto/Htl/Apto en Atenas.</w:t>
      </w:r>
    </w:p>
    <w:p>
      <w:pPr>
        <w:pStyle w:val="NoSpacing"/>
        <w:numPr>
          <w:ilvl w:val="0"/>
          <w:numId w:val="3"/>
        </w:numPr>
        <w:jc w:val="both"/>
        <w:rPr/>
      </w:pPr>
      <w:r>
        <w:rPr>
          <w:lang w:val="es-AR"/>
        </w:rPr>
        <w:t xml:space="preserve">4 noches en Atenas en régimen de alojamiento y desayuno. </w:t>
      </w:r>
    </w:p>
    <w:p>
      <w:pPr>
        <w:pStyle w:val="NoSpacing"/>
        <w:numPr>
          <w:ilvl w:val="0"/>
          <w:numId w:val="3"/>
        </w:numPr>
        <w:jc w:val="both"/>
        <w:rPr/>
      </w:pPr>
      <w:r>
        <w:rPr>
          <w:lang w:val="es-AR"/>
        </w:rPr>
        <w:t>Visita 1/2 Día: panorámica de Atenas y visita al recinto de Acrópolis, con guía en español y entradas.</w:t>
      </w:r>
    </w:p>
    <w:p>
      <w:pPr>
        <w:pStyle w:val="NoSpacing"/>
        <w:numPr>
          <w:ilvl w:val="0"/>
          <w:numId w:val="3"/>
        </w:numPr>
        <w:jc w:val="both"/>
        <w:rPr/>
      </w:pPr>
      <w:r>
        <w:rPr>
          <w:lang w:val="es-ES_tradnl"/>
        </w:rPr>
        <w:t xml:space="preserve">Circuito de cuatro días/tres noches Peloponeso-Meteora en tour regular y en régimen de media pensión </w:t>
      </w:r>
      <w:r>
        <w:rPr>
          <w:lang w:val="es-ES"/>
        </w:rPr>
        <w:t xml:space="preserve">(bebidas </w:t>
      </w:r>
      <w:r>
        <w:rPr>
          <w:lang w:val="es-ES_tradnl"/>
        </w:rPr>
        <w:t xml:space="preserve">no incluidas)] </w:t>
      </w:r>
      <w:r>
        <w:rPr>
          <w:lang w:val="es-AR"/>
        </w:rPr>
        <w:t>con guía en español y entradas incluidas.</w:t>
      </w:r>
    </w:p>
    <w:p>
      <w:pPr>
        <w:pStyle w:val="NoSpacing"/>
        <w:jc w:val="both"/>
        <w:rPr>
          <w:lang w:val="es-AR"/>
        </w:rPr>
      </w:pPr>
      <w:r>
        <w:rPr>
          <w:lang w:val="es-AR"/>
        </w:rPr>
      </w:r>
    </w:p>
    <w:p>
      <w:pPr>
        <w:pStyle w:val="NoSpacing"/>
        <w:jc w:val="both"/>
        <w:rPr>
          <w:lang w:val="es-AR"/>
        </w:rPr>
      </w:pPr>
      <w:r>
        <w:rPr>
          <w:lang w:val="es-AR"/>
        </w:rPr>
      </w:r>
    </w:p>
    <w:p>
      <w:pPr>
        <w:pStyle w:val="NoSpacing"/>
        <w:jc w:val="both"/>
        <w:rPr>
          <w:b/>
          <w:b/>
          <w:u w:val="single"/>
          <w:lang w:val="es-AR"/>
        </w:rPr>
      </w:pPr>
      <w:r>
        <w:rPr>
          <w:b/>
          <w:u w:val="single"/>
          <w:lang w:val="es-AR"/>
        </w:rPr>
        <w:t>PRECIO NO INCLUYE</w:t>
      </w:r>
    </w:p>
    <w:p>
      <w:pPr>
        <w:pStyle w:val="NoSpacing"/>
        <w:jc w:val="both"/>
        <w:rPr>
          <w:lang w:val="es-AR"/>
        </w:rPr>
      </w:pPr>
      <w:r>
        <w:rPr>
          <w:lang w:val="es-AR"/>
        </w:rPr>
      </w:r>
    </w:p>
    <w:p>
      <w:pPr>
        <w:pStyle w:val="NoSpacing"/>
        <w:numPr>
          <w:ilvl w:val="0"/>
          <w:numId w:val="4"/>
        </w:numPr>
        <w:jc w:val="both"/>
        <w:rPr/>
      </w:pPr>
      <w:r>
        <w:rPr>
          <w:lang w:val="es-ES"/>
        </w:rPr>
        <w:t xml:space="preserve">Propinas, maleteros ni ningún otro servicio que no se mencione específicamente. </w:t>
      </w:r>
    </w:p>
    <w:p>
      <w:pPr>
        <w:pStyle w:val="NoSpacing"/>
        <w:jc w:val="both"/>
        <w:rPr>
          <w:lang w:val="es-ES"/>
        </w:rPr>
      </w:pPr>
      <w:r>
        <w:rPr>
          <w:lang w:val="es-ES"/>
        </w:rPr>
      </w:r>
    </w:p>
    <w:p>
      <w:pPr>
        <w:pStyle w:val="NoSpacing"/>
        <w:jc w:val="both"/>
        <w:rPr>
          <w:lang w:val="es-ES"/>
        </w:rPr>
      </w:pPr>
      <w:r>
        <w:rPr>
          <w:lang w:val="es-ES"/>
        </w:rPr>
      </w:r>
    </w:p>
    <w:p>
      <w:pPr>
        <w:pStyle w:val="NoSpacing"/>
        <w:jc w:val="both"/>
        <w:rPr>
          <w:lang w:val="es-ES"/>
        </w:rPr>
      </w:pPr>
      <w:r>
        <w:rPr>
          <w:lang w:val="es-ES"/>
        </w:rPr>
      </w:r>
    </w:p>
    <w:p>
      <w:pPr>
        <w:pStyle w:val="NoSpacing"/>
        <w:jc w:val="both"/>
        <w:rPr>
          <w:b/>
          <w:b/>
          <w:u w:val="single"/>
          <w:lang w:val="es-ES"/>
        </w:rPr>
      </w:pPr>
      <w:r>
        <w:rPr>
          <w:b/>
          <w:u w:val="single"/>
          <w:lang w:val="es-ES"/>
        </w:rPr>
        <w:t>HOTELES PREVISTOS O SIMILARES</w:t>
      </w:r>
    </w:p>
    <w:p>
      <w:pPr>
        <w:pStyle w:val="NoSpacing"/>
        <w:rPr/>
      </w:pPr>
      <w:r>
        <w:rPr/>
      </w:r>
    </w:p>
    <w:p>
      <w:pPr>
        <w:pStyle w:val="NoSpacing"/>
        <w:rPr/>
      </w:pPr>
      <w:r>
        <w:rPr>
          <w:i/>
          <w:lang w:val="en-US"/>
        </w:rPr>
        <w:t>ATENAS</w:t>
      </w:r>
      <w:r>
        <w:rPr>
          <w:lang w:val="en-US"/>
        </w:rPr>
        <w:t xml:space="preserve"> </w:t>
        <w:tab/>
        <w:t xml:space="preserve">: Titania, Stanley, Athens Avenue o Similar. </w:t>
      </w:r>
    </w:p>
    <w:p>
      <w:pPr>
        <w:pStyle w:val="NoSpacing"/>
        <w:rPr/>
      </w:pPr>
      <w:r>
        <w:rPr>
          <w:i/>
          <w:lang w:val="en-US"/>
        </w:rPr>
        <w:t>OLYMPIA</w:t>
      </w:r>
      <w:r>
        <w:rPr>
          <w:lang w:val="en-US"/>
        </w:rPr>
        <w:tab/>
        <w:t>: Arty Grand, Amalia o Similar</w:t>
      </w:r>
    </w:p>
    <w:p>
      <w:pPr>
        <w:pStyle w:val="NoSpacing"/>
        <w:rPr/>
      </w:pPr>
      <w:r>
        <w:rPr>
          <w:i/>
        </w:rPr>
        <w:t>DELFOS</w:t>
      </w:r>
      <w:r>
        <w:rPr/>
        <w:tab/>
        <w:tab/>
        <w:t>: Amalia, Nafsika Palace o Similar</w:t>
      </w:r>
    </w:p>
    <w:p>
      <w:pPr>
        <w:pStyle w:val="NoSpacing"/>
        <w:rPr/>
      </w:pPr>
      <w:r>
        <w:rPr>
          <w:i/>
        </w:rPr>
        <w:t>KAAMBAKA</w:t>
      </w:r>
      <w:r>
        <w:rPr/>
        <w:tab/>
        <w:t>: Amalia, Grand Meteora o Similar.</w:t>
      </w:r>
    </w:p>
    <w:p>
      <w:pPr>
        <w:pStyle w:val="NoSpacing"/>
        <w:jc w:val="both"/>
        <w:rPr/>
      </w:pPr>
      <w:r>
        <w:rPr/>
      </w:r>
    </w:p>
    <w:p>
      <w:pPr>
        <w:pStyle w:val="NoSpacing"/>
        <w:jc w:val="both"/>
        <w:rPr/>
      </w:pPr>
      <w:r>
        <w:rPr/>
      </w:r>
    </w:p>
    <w:p>
      <w:pPr>
        <w:pStyle w:val="NoSpacing"/>
        <w:jc w:val="both"/>
        <w:rPr/>
      </w:pPr>
      <w:r>
        <w:rPr/>
      </w:r>
    </w:p>
    <w:p>
      <w:pPr>
        <w:pStyle w:val="Normal"/>
        <w:spacing w:lineRule="auto" w:line="264" w:before="0" w:after="0"/>
        <w:rPr>
          <w:rFonts w:cs="Calibri"/>
          <w:b/>
          <w:b/>
          <w:bCs/>
          <w:szCs w:val="20"/>
        </w:rPr>
      </w:pPr>
      <w:r>
        <w:rPr/>
      </w:r>
    </w:p>
    <w:p>
      <w:pPr>
        <w:pStyle w:val="Normal"/>
        <w:spacing w:lineRule="auto" w:line="264" w:before="0" w:after="0"/>
        <w:rPr/>
      </w:pPr>
      <w:r>
        <w:rPr>
          <w:rFonts w:cs="Calibri"/>
          <w:b/>
          <w:bCs/>
          <w:szCs w:val="20"/>
        </w:rPr>
        <w:t>NOTAS</w:t>
      </w:r>
      <w:r>
        <w:rPr>
          <w:rFonts w:eastAsia="Arial" w:cs="Calibri"/>
          <w:b/>
          <w:bCs/>
          <w:szCs w:val="20"/>
        </w:rPr>
        <w:t xml:space="preserve"> </w:t>
      </w:r>
      <w:r>
        <w:rPr>
          <w:rFonts w:cs="Calibri"/>
          <w:b/>
          <w:bCs/>
          <w:szCs w:val="20"/>
        </w:rPr>
        <w:t>IMPORTANTES</w:t>
      </w:r>
      <w:r>
        <w:rPr>
          <w:rFonts w:eastAsia="Arial" w:cs="Calibri"/>
          <w:b/>
          <w:bCs/>
          <w:szCs w:val="20"/>
        </w:rPr>
        <w:t>:</w:t>
      </w:r>
    </w:p>
    <w:p>
      <w:pPr>
        <w:pStyle w:val="Normal"/>
        <w:spacing w:lineRule="auto" w:line="264" w:before="0" w:after="0"/>
        <w:rPr>
          <w:rFonts w:eastAsia="Arial" w:cs="Calibri"/>
          <w:b/>
          <w:b/>
          <w:bCs/>
          <w:szCs w:val="20"/>
        </w:rPr>
      </w:pPr>
      <w:r>
        <w:rPr/>
      </w:r>
    </w:p>
    <w:p>
      <w:pPr>
        <w:pStyle w:val="Normal"/>
        <w:spacing w:lineRule="auto" w:line="264" w:before="0" w:after="0"/>
        <w:rPr/>
      </w:pPr>
      <w:r>
        <w:rPr>
          <w:rFonts w:eastAsia="Arial" w:cs="Calibri"/>
          <w:b/>
          <w:bCs/>
          <w:szCs w:val="20"/>
        </w:rPr>
        <w:t>SOBRE EL DESTINO:</w:t>
      </w:r>
    </w:p>
    <w:p>
      <w:pPr>
        <w:pStyle w:val="Normal"/>
        <w:numPr>
          <w:ilvl w:val="0"/>
          <w:numId w:val="7"/>
        </w:numPr>
        <w:spacing w:lineRule="auto" w:line="264" w:before="0" w:after="0"/>
        <w:rPr/>
      </w:pPr>
      <w:r>
        <w:rPr/>
        <w:t>El Gobierno anuncia que a partir del 1 de enero 2018, según la ley 4389/2016 todos los viajeros en cualquier tipo de alojamiento en todo Grecia,están obligados  a pagar un " impuesto de ocupacion" en la llegada. Las tarifas indicadas no incluyen este impuesto extra. El hotel es responsable de cobrar la cantidad correspondiente directamente de los clientes.</w:t>
      </w:r>
    </w:p>
    <w:p>
      <w:pPr>
        <w:pStyle w:val="Normal"/>
        <w:numPr>
          <w:ilvl w:val="0"/>
          <w:numId w:val="7"/>
        </w:numPr>
        <w:spacing w:lineRule="auto" w:line="264" w:before="0" w:after="0"/>
        <w:rPr/>
      </w:pPr>
      <w:r>
        <w:rPr/>
        <w:t>El receptivo no puede ser intermediario del pago de este impuesto especifico y no asume ninguna responsabilidad en caso de que el hotel no reciba la cantidad correspondiente,directamente del cliente.</w:t>
      </w:r>
    </w:p>
    <w:p>
      <w:pPr>
        <w:pStyle w:val="Normal"/>
        <w:numPr>
          <w:ilvl w:val="0"/>
          <w:numId w:val="7"/>
        </w:numPr>
        <w:spacing w:lineRule="auto" w:line="264" w:before="0" w:after="0"/>
        <w:rPr/>
      </w:pPr>
      <w:r>
        <w:rPr>
          <w:b/>
          <w:bCs/>
        </w:rPr>
        <w:t>Impuesto extra según tipo de alojamiento:</w:t>
      </w:r>
    </w:p>
    <w:p>
      <w:pPr>
        <w:pStyle w:val="Normal"/>
        <w:numPr>
          <w:ilvl w:val="0"/>
          <w:numId w:val="0"/>
        </w:numPr>
        <w:spacing w:lineRule="auto" w:line="264" w:before="0" w:after="0"/>
        <w:ind w:left="998" w:hanging="0"/>
        <w:jc w:val="both"/>
        <w:rPr/>
      </w:pPr>
      <w:r>
        <w:rPr/>
        <w:t>5* hoteles: € 4,00 p/habitación &amp; por noche.</w:t>
      </w:r>
    </w:p>
    <w:p>
      <w:pPr>
        <w:pStyle w:val="Normal"/>
        <w:numPr>
          <w:ilvl w:val="0"/>
          <w:numId w:val="0"/>
        </w:numPr>
        <w:spacing w:lineRule="auto" w:line="264" w:before="0" w:after="0"/>
        <w:ind w:left="998" w:hanging="0"/>
        <w:jc w:val="both"/>
        <w:rPr/>
      </w:pPr>
      <w:r>
        <w:rPr/>
        <w:t>4* hoteles: € 3,00 p/habitación &amp; por noche.</w:t>
      </w:r>
    </w:p>
    <w:p>
      <w:pPr>
        <w:pStyle w:val="Normal"/>
        <w:numPr>
          <w:ilvl w:val="0"/>
          <w:numId w:val="0"/>
        </w:numPr>
        <w:spacing w:lineRule="auto" w:line="264" w:before="0" w:after="0"/>
        <w:ind w:left="998" w:hanging="0"/>
        <w:jc w:val="both"/>
        <w:rPr/>
      </w:pPr>
      <w:r>
        <w:rPr/>
        <w:t>3* hoteles: € 1,50 p/habitación &amp; por noche.</w:t>
      </w:r>
    </w:p>
    <w:p>
      <w:pPr>
        <w:pStyle w:val="Normal"/>
        <w:numPr>
          <w:ilvl w:val="0"/>
          <w:numId w:val="0"/>
        </w:numPr>
        <w:spacing w:lineRule="auto" w:line="264" w:before="0" w:after="0"/>
        <w:ind w:left="998" w:hanging="0"/>
        <w:jc w:val="both"/>
        <w:rPr/>
      </w:pPr>
      <w:r>
        <w:rPr/>
        <w:t>2* &amp; 1* hoteles,pensiones: € 0,50 p/habitación &amp; por noche.</w:t>
      </w:r>
    </w:p>
    <w:p>
      <w:pPr>
        <w:pStyle w:val="Normal"/>
        <w:numPr>
          <w:ilvl w:val="0"/>
          <w:numId w:val="0"/>
        </w:numPr>
        <w:spacing w:lineRule="auto" w:line="264" w:before="0" w:after="0"/>
        <w:ind w:left="998" w:hanging="0"/>
        <w:jc w:val="both"/>
        <w:rPr/>
      </w:pPr>
      <w:r>
        <w:rPr/>
      </w:r>
    </w:p>
    <w:p>
      <w:pPr>
        <w:pStyle w:val="Normal"/>
        <w:numPr>
          <w:ilvl w:val="0"/>
          <w:numId w:val="6"/>
        </w:numPr>
        <w:spacing w:lineRule="auto" w:line="264" w:before="0" w:after="0"/>
        <w:jc w:val="both"/>
        <w:rPr/>
      </w:pPr>
      <w:r>
        <w:rPr/>
        <w:t>El Tour Operador y/o la Agencia de Viajes están obligados a incluir la información anterior en todas las descripciones y folletos e informar a todos sus clientes antes de reservar sus vacaciones que tendrán que pagar el extra “impuesto de pernoctacion” en el hotel a su llegada.</w:t>
      </w:r>
    </w:p>
    <w:p>
      <w:pPr>
        <w:pStyle w:val="Normal"/>
        <w:spacing w:lineRule="auto" w:line="264" w:before="0" w:after="0"/>
        <w:rPr/>
      </w:pPr>
      <w:r>
        <w:rPr/>
      </w:r>
    </w:p>
    <w:p>
      <w:pPr>
        <w:pStyle w:val="Normal"/>
        <w:spacing w:lineRule="auto" w:line="264" w:before="0" w:after="0"/>
        <w:rPr>
          <w:b/>
          <w:b/>
          <w:bCs/>
        </w:rPr>
      </w:pPr>
      <w:r>
        <w:rPr>
          <w:b/>
          <w:bCs/>
        </w:rPr>
        <w:t>SOBRE EL PROGRAMA:</w:t>
      </w:r>
    </w:p>
    <w:p>
      <w:pPr>
        <w:pStyle w:val="Normal"/>
        <w:spacing w:lineRule="auto" w:line="264" w:before="0" w:after="0"/>
        <w:ind w:left="284" w:hanging="283"/>
        <w:jc w:val="both"/>
        <w:rPr>
          <w:rFonts w:eastAsia="Arial" w:cs="Calibri"/>
          <w:b/>
          <w:b/>
          <w:bCs/>
          <w:sz w:val="20"/>
          <w:szCs w:val="20"/>
        </w:rPr>
      </w:pPr>
      <w:r>
        <w:rPr>
          <w:rFonts w:eastAsia="Arial" w:cs="Calibri"/>
          <w:b/>
          <w:bCs/>
          <w:sz w:val="20"/>
          <w:szCs w:val="20"/>
        </w:rPr>
      </w:r>
    </w:p>
    <w:p>
      <w:pPr>
        <w:pStyle w:val="Normal"/>
        <w:numPr>
          <w:ilvl w:val="0"/>
          <w:numId w:val="2"/>
        </w:numPr>
        <w:spacing w:lineRule="auto" w:line="264" w:before="0" w:after="0"/>
        <w:jc w:val="both"/>
        <w:rPr/>
      </w:pPr>
      <w:r>
        <w:rPr>
          <w:rFonts w:cs="Calibri"/>
          <w:b/>
          <w:bCs/>
          <w:sz w:val="20"/>
          <w:szCs w:val="20"/>
        </w:rPr>
        <w:t>Tarifa válida para personas individuales, no es válida para grupos.</w:t>
      </w:r>
    </w:p>
    <w:p>
      <w:pPr>
        <w:pStyle w:val="Normal"/>
        <w:numPr>
          <w:ilvl w:val="0"/>
          <w:numId w:val="2"/>
        </w:numPr>
        <w:spacing w:lineRule="auto" w:line="264" w:before="0" w:after="0"/>
        <w:jc w:val="both"/>
        <w:rPr/>
      </w:pPr>
      <w:r>
        <w:rPr>
          <w:rFonts w:eastAsia="Arial" w:cs="Calibri"/>
          <w:sz w:val="20"/>
          <w:szCs w:val="20"/>
        </w:rPr>
        <w:t>Tarifa no endosable. No reembolsable y No transferible.</w:t>
      </w:r>
    </w:p>
    <w:p>
      <w:pPr>
        <w:pStyle w:val="Normal"/>
        <w:numPr>
          <w:ilvl w:val="0"/>
          <w:numId w:val="2"/>
        </w:numPr>
        <w:spacing w:lineRule="auto" w:line="264" w:before="0" w:after="0"/>
        <w:jc w:val="both"/>
        <w:rPr/>
      </w:pPr>
      <w:r>
        <w:rPr>
          <w:rFonts w:cs="Calibri"/>
          <w:sz w:val="20"/>
          <w:szCs w:val="20"/>
        </w:rPr>
        <w:t>Tour en grupo mínimo 02 personas.</w:t>
      </w:r>
    </w:p>
    <w:p>
      <w:pPr>
        <w:pStyle w:val="ListParagraph"/>
        <w:numPr>
          <w:ilvl w:val="0"/>
          <w:numId w:val="2"/>
        </w:numPr>
        <w:spacing w:before="0" w:after="0"/>
        <w:contextualSpacing/>
        <w:jc w:val="both"/>
        <w:rPr/>
      </w:pPr>
      <w:r>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pPr>
        <w:pStyle w:val="NoSpacing"/>
        <w:numPr>
          <w:ilvl w:val="0"/>
          <w:numId w:val="2"/>
        </w:numPr>
        <w:suppressAutoHyphens w:val="true"/>
        <w:spacing w:lineRule="auto" w:line="276"/>
        <w:jc w:val="both"/>
        <w:rPr/>
      </w:pPr>
      <w:r>
        <w:rPr>
          <w:rFonts w:cs="Calibri"/>
          <w:color w:val="000000"/>
          <w:sz w:val="20"/>
          <w:szCs w:val="20"/>
          <w:lang w:val="es-ES"/>
        </w:rPr>
        <w:t>Es necesario, siempre, verificar el peso de la maleta permitido por la línea aérea y en caso de tener alguna conexión también tomar previsiones.</w:t>
      </w:r>
    </w:p>
    <w:p>
      <w:pPr>
        <w:pStyle w:val="Normal"/>
        <w:numPr>
          <w:ilvl w:val="0"/>
          <w:numId w:val="2"/>
        </w:numPr>
        <w:spacing w:lineRule="atLeast" w:line="200" w:before="0" w:after="0"/>
        <w:jc w:val="both"/>
        <w:rPr/>
      </w:pPr>
      <w:r>
        <w:rPr>
          <w:rFonts w:eastAsia="Arial" w:cs="Calibri"/>
          <w:sz w:val="20"/>
          <w:szCs w:val="20"/>
        </w:rPr>
        <w:t>Media Pensión ó Pensión completa y/o comidas no incluye bebidas.</w:t>
      </w:r>
    </w:p>
    <w:p>
      <w:pPr>
        <w:pStyle w:val="ListParagraph"/>
        <w:numPr>
          <w:ilvl w:val="0"/>
          <w:numId w:val="2"/>
        </w:numPr>
        <w:spacing w:before="0" w:after="0"/>
        <w:contextualSpacing/>
        <w:rPr/>
      </w:pPr>
      <w:r>
        <w:rPr>
          <w:rFonts w:cs="Calibri"/>
          <w:sz w:val="20"/>
          <w:szCs w:val="20"/>
        </w:rPr>
        <w:t>Tipo de cambio referencial en soles S/.  3.50. Material exclusivo para agencias de viajes.</w:t>
      </w:r>
    </w:p>
    <w:p>
      <w:pPr>
        <w:pStyle w:val="Normal"/>
        <w:spacing w:lineRule="auto" w:line="264" w:before="0" w:after="0"/>
        <w:jc w:val="both"/>
        <w:rPr>
          <w:rFonts w:ascii="Arial" w:hAnsi="Arial" w:cs="Arial"/>
          <w:b/>
          <w:b/>
          <w:bCs/>
          <w:sz w:val="20"/>
          <w:szCs w:val="20"/>
          <w:lang w:val="es-ES_tradnl"/>
        </w:rPr>
      </w:pPr>
      <w:r>
        <w:rPr>
          <w:rFonts w:cs="Arial" w:ascii="Arial" w:hAnsi="Arial"/>
          <w:b/>
          <w:bCs/>
          <w:sz w:val="20"/>
          <w:szCs w:val="20"/>
          <w:lang w:val="es-ES_tradnl"/>
        </w:rPr>
      </w:r>
    </w:p>
    <w:p>
      <w:pPr>
        <w:pStyle w:val="Normal"/>
        <w:spacing w:lineRule="auto" w:line="264" w:before="0" w:after="0"/>
        <w:jc w:val="both"/>
        <w:rPr>
          <w:rFonts w:ascii="Arial" w:hAnsi="Arial" w:cs="Arial"/>
          <w:b/>
          <w:b/>
          <w:bCs/>
          <w:sz w:val="20"/>
          <w:szCs w:val="20"/>
          <w:lang w:val="es-ES_tradnl"/>
        </w:rPr>
      </w:pPr>
      <w:r>
        <w:rPr>
          <w:rFonts w:cs="Arial" w:ascii="Arial" w:hAnsi="Arial"/>
          <w:b/>
          <w:bCs/>
          <w:sz w:val="20"/>
          <w:szCs w:val="20"/>
          <w:lang w:val="es-ES_tradnl"/>
        </w:rPr>
      </w:r>
    </w:p>
    <w:p>
      <w:pPr>
        <w:pStyle w:val="Normal"/>
        <w:spacing w:lineRule="auto" w:line="264" w:before="0" w:after="0"/>
        <w:jc w:val="both"/>
        <w:rPr/>
      </w:pPr>
      <w:r>
        <w:rPr>
          <w:rFonts w:cs="Arial" w:ascii="Arial" w:hAnsi="Arial"/>
          <w:b/>
          <w:bCs/>
          <w:sz w:val="20"/>
          <w:szCs w:val="20"/>
          <w:lang w:val="es-ES_tradnl"/>
        </w:rPr>
        <w:t>GENERALES</w:t>
      </w:r>
      <w:r>
        <w:rPr>
          <w:rFonts w:eastAsia="Arial" w:cs="Arial" w:ascii="Arial" w:hAnsi="Arial"/>
          <w:b/>
          <w:bCs/>
          <w:sz w:val="20"/>
          <w:szCs w:val="20"/>
          <w:lang w:val="es-ES_tradnl"/>
        </w:rPr>
        <w:t>:</w:t>
      </w:r>
    </w:p>
    <w:p>
      <w:pPr>
        <w:pStyle w:val="Normal"/>
        <w:tabs>
          <w:tab w:val="left" w:pos="0" w:leader="none"/>
        </w:tabs>
        <w:spacing w:before="0" w:after="0"/>
        <w:jc w:val="both"/>
        <w:rPr/>
      </w:pPr>
      <w:r>
        <w:rPr>
          <w:rFonts w:eastAsia="Arial" w:cs="Calibri"/>
          <w:b/>
          <w:color w:val="C00000"/>
          <w:szCs w:val="20"/>
        </w:rPr>
        <w:t xml:space="preserve"> </w:t>
      </w:r>
    </w:p>
    <w:p>
      <w:pPr>
        <w:pStyle w:val="Normal"/>
        <w:numPr>
          <w:ilvl w:val="0"/>
          <w:numId w:val="1"/>
        </w:numPr>
        <w:tabs>
          <w:tab w:val="left" w:pos="0" w:leader="none"/>
        </w:tabs>
        <w:spacing w:before="0" w:after="0"/>
        <w:ind w:left="567" w:hanging="283"/>
        <w:jc w:val="both"/>
        <w:rPr/>
      </w:pPr>
      <w:r>
        <w:rPr>
          <w:rFonts w:cs="Calibri"/>
          <w:b/>
          <w:color w:val="C00000"/>
          <w:sz w:val="20"/>
          <w:szCs w:val="20"/>
        </w:rPr>
        <w:t>Para asegurar los cupos se requiere de un pre-pago de US$ 500.00 </w:t>
      </w:r>
      <w:r>
        <w:rPr>
          <w:rFonts w:cs="Calibri"/>
          <w:b/>
          <w:color w:val="C00000"/>
          <w:sz w:val="18"/>
          <w:szCs w:val="20"/>
        </w:rPr>
        <w:t>por persona.</w:t>
      </w:r>
    </w:p>
    <w:p>
      <w:pPr>
        <w:pStyle w:val="Normal"/>
        <w:numPr>
          <w:ilvl w:val="0"/>
          <w:numId w:val="1"/>
        </w:numPr>
        <w:tabs>
          <w:tab w:val="left" w:pos="0" w:leader="none"/>
        </w:tabs>
        <w:spacing w:before="0" w:after="0"/>
        <w:ind w:left="567" w:hanging="283"/>
        <w:jc w:val="both"/>
        <w:rPr/>
      </w:pPr>
      <w:r>
        <w:rPr>
          <w:rFonts w:cs="Calibri"/>
          <w:b/>
          <w:color w:val="C00000"/>
          <w:sz w:val="20"/>
          <w:szCs w:val="20"/>
        </w:rPr>
        <w:t xml:space="preserve">Comisión del 10%, incentivo de USD10.00 por pasajero. </w:t>
      </w:r>
    </w:p>
    <w:p>
      <w:pPr>
        <w:pStyle w:val="Normal"/>
        <w:numPr>
          <w:ilvl w:val="0"/>
          <w:numId w:val="1"/>
        </w:numPr>
        <w:tabs>
          <w:tab w:val="left" w:pos="0" w:leader="none"/>
        </w:tabs>
        <w:spacing w:before="0" w:after="0"/>
        <w:ind w:left="567" w:hanging="283"/>
        <w:jc w:val="both"/>
        <w:rPr/>
      </w:pPr>
      <w:r>
        <w:rPr>
          <w:rFonts w:cs="Calibri"/>
          <w:sz w:val="20"/>
          <w:szCs w:val="20"/>
        </w:rPr>
        <w:t>Tarifas NO son válidas para: Semana Santa, Fiestas Patrias, Navidad, Año Nuevo, grupos, días festivos en Perú y en destino, ferias, congresos y blackouts.</w:t>
      </w:r>
    </w:p>
    <w:p>
      <w:pPr>
        <w:pStyle w:val="Normal"/>
        <w:numPr>
          <w:ilvl w:val="0"/>
          <w:numId w:val="1"/>
        </w:numPr>
        <w:tabs>
          <w:tab w:val="left" w:pos="0" w:leader="none"/>
        </w:tabs>
        <w:spacing w:before="0" w:after="0"/>
        <w:ind w:left="567" w:hanging="283"/>
        <w:jc w:val="both"/>
        <w:rPr/>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pPr>
        <w:pStyle w:val="Normal"/>
        <w:numPr>
          <w:ilvl w:val="0"/>
          <w:numId w:val="1"/>
        </w:numPr>
        <w:tabs>
          <w:tab w:val="left" w:pos="0" w:leader="none"/>
        </w:tabs>
        <w:spacing w:before="0" w:after="0"/>
        <w:ind w:left="567" w:hanging="283"/>
        <w:jc w:val="both"/>
        <w:rPr/>
      </w:pPr>
      <w:r>
        <w:rPr>
          <w:rFonts w:cs="Calibri"/>
          <w:sz w:val="20"/>
          <w:szCs w:val="20"/>
          <w:lang w:val="es-MX"/>
        </w:rPr>
        <w:t>El itinerario está sujeto a cambios dependiendo de los vuelos confirmados, condiciones climáticas y en las carreteras</w:t>
      </w:r>
    </w:p>
    <w:p>
      <w:pPr>
        <w:pStyle w:val="Normal"/>
        <w:numPr>
          <w:ilvl w:val="0"/>
          <w:numId w:val="1"/>
        </w:numPr>
        <w:tabs>
          <w:tab w:val="left" w:pos="0" w:leader="none"/>
        </w:tabs>
        <w:spacing w:before="0" w:after="0"/>
        <w:ind w:left="567" w:hanging="283"/>
        <w:jc w:val="both"/>
        <w:rPr/>
      </w:pPr>
      <w:r>
        <w:rPr>
          <w:rFonts w:cs="Calibri"/>
          <w:sz w:val="20"/>
          <w:szCs w:val="20"/>
        </w:rPr>
        <w:t xml:space="preserve"> </w:t>
      </w:r>
      <w:r>
        <w:rPr>
          <w:rFonts w:cs="Calibri"/>
          <w:sz w:val="20"/>
          <w:szCs w:val="20"/>
        </w:rPr>
        <w:t>En el caso de falta de disponibilidad en un Hotel del Tour, el, operador garantiza otro hotel de misma categoría e área sin suplemento adicionales.</w:t>
      </w:r>
    </w:p>
    <w:p>
      <w:pPr>
        <w:pStyle w:val="Normal"/>
        <w:numPr>
          <w:ilvl w:val="0"/>
          <w:numId w:val="1"/>
        </w:numPr>
        <w:tabs>
          <w:tab w:val="left" w:pos="0" w:leader="none"/>
        </w:tabs>
        <w:spacing w:before="0" w:after="0"/>
        <w:ind w:left="567" w:hanging="283"/>
        <w:jc w:val="both"/>
        <w:rPr/>
      </w:pPr>
      <w:r>
        <w:rPr>
          <w:rFonts w:cs="Calibri"/>
          <w:sz w:val="20"/>
          <w:szCs w:val="20"/>
        </w:rPr>
        <w:t xml:space="preserve">No reembolsable, no endosable, ni transferible. No se permite cambios. Todos los tramos aéreos de estas ofertas tienen que ser reservados por DOMIREPS. </w:t>
      </w:r>
    </w:p>
    <w:p>
      <w:pPr>
        <w:pStyle w:val="Normal"/>
        <w:numPr>
          <w:ilvl w:val="0"/>
          <w:numId w:val="1"/>
        </w:numPr>
        <w:tabs>
          <w:tab w:val="left" w:pos="0" w:leader="none"/>
        </w:tabs>
        <w:spacing w:before="0" w:after="0"/>
        <w:ind w:left="567" w:hanging="283"/>
        <w:jc w:val="both"/>
        <w:rPr/>
      </w:pPr>
      <w:r>
        <w:rPr>
          <w:rFonts w:cs="Calibri"/>
          <w:sz w:val="20"/>
          <w:szCs w:val="20"/>
        </w:rPr>
        <w:t>Precios sujetos a variación sin previo aviso, t</w:t>
      </w:r>
      <w:r>
        <w:rPr>
          <w:rFonts w:cs="Calibri"/>
          <w:sz w:val="20"/>
          <w:szCs w:val="18"/>
          <w:shd w:fill="FFFFFF" w:val="clear"/>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18"/>
          <w:shd w:fill="FFFFFF" w:val="clear"/>
        </w:rPr>
        <w:t xml:space="preserve"> Consultar antes de solicitar reserva.</w:t>
      </w:r>
    </w:p>
    <w:p>
      <w:pPr>
        <w:pStyle w:val="Normal"/>
        <w:numPr>
          <w:ilvl w:val="0"/>
          <w:numId w:val="1"/>
        </w:numPr>
        <w:tabs>
          <w:tab w:val="left" w:pos="0" w:leader="none"/>
        </w:tabs>
        <w:spacing w:before="0" w:after="0"/>
        <w:ind w:left="567" w:hanging="283"/>
        <w:jc w:val="both"/>
        <w:rPr/>
      </w:pPr>
      <w:r>
        <w:rPr>
          <w:rFonts w:cs="Calibri"/>
          <w:sz w:val="20"/>
          <w:szCs w:val="20"/>
        </w:rPr>
        <w:t xml:space="preserve">Los traslados aplica para vuelos diurnos, </w:t>
      </w:r>
      <w:r>
        <w:rPr>
          <w:rFonts w:cs="Calibri"/>
          <w:bCs/>
          <w:sz w:val="20"/>
          <w:szCs w:val="24"/>
        </w:rPr>
        <w:t>no valido para vuelos fuera del horario establecido, para ello deberán aplicar tarifa especial o privado. Consultar.</w:t>
      </w:r>
    </w:p>
    <w:p>
      <w:pPr>
        <w:pStyle w:val="Normal"/>
        <w:numPr>
          <w:ilvl w:val="0"/>
          <w:numId w:val="1"/>
        </w:numPr>
        <w:tabs>
          <w:tab w:val="left" w:pos="0" w:leader="none"/>
        </w:tabs>
        <w:spacing w:before="0" w:after="0"/>
        <w:ind w:left="567" w:hanging="283"/>
        <w:jc w:val="both"/>
        <w:rPr/>
      </w:pPr>
      <w:r>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pPr>
        <w:pStyle w:val="Normal"/>
        <w:numPr>
          <w:ilvl w:val="0"/>
          <w:numId w:val="1"/>
        </w:numPr>
        <w:tabs>
          <w:tab w:val="left" w:pos="0" w:leader="none"/>
        </w:tabs>
        <w:spacing w:before="0" w:after="0"/>
        <w:ind w:left="567" w:hanging="283"/>
        <w:jc w:val="both"/>
        <w:rPr/>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pPr>
        <w:pStyle w:val="Normal"/>
        <w:numPr>
          <w:ilvl w:val="0"/>
          <w:numId w:val="1"/>
        </w:numPr>
        <w:tabs>
          <w:tab w:val="left" w:pos="0" w:leader="none"/>
        </w:tabs>
        <w:spacing w:before="0" w:after="0"/>
        <w:ind w:left="567" w:hanging="283"/>
        <w:jc w:val="both"/>
        <w:rPr/>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pPr>
        <w:pStyle w:val="Normal"/>
        <w:numPr>
          <w:ilvl w:val="0"/>
          <w:numId w:val="1"/>
        </w:numPr>
        <w:tabs>
          <w:tab w:val="left" w:pos="0" w:leader="none"/>
        </w:tabs>
        <w:spacing w:before="0" w:after="0"/>
        <w:ind w:left="567" w:hanging="283"/>
        <w:jc w:val="both"/>
        <w:rPr/>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pPr>
        <w:pStyle w:val="Normal"/>
        <w:numPr>
          <w:ilvl w:val="0"/>
          <w:numId w:val="1"/>
        </w:numPr>
        <w:tabs>
          <w:tab w:val="left" w:pos="0" w:leader="none"/>
        </w:tabs>
        <w:spacing w:before="0" w:after="0"/>
        <w:ind w:left="567" w:hanging="283"/>
        <w:jc w:val="both"/>
        <w:rPr/>
      </w:pPr>
      <w:r>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pPr>
        <w:pStyle w:val="Normal"/>
        <w:numPr>
          <w:ilvl w:val="0"/>
          <w:numId w:val="1"/>
        </w:numPr>
        <w:tabs>
          <w:tab w:val="left" w:pos="0" w:leader="none"/>
        </w:tabs>
        <w:spacing w:lineRule="atLeast" w:line="200" w:before="0" w:after="0"/>
        <w:ind w:left="567" w:hanging="283"/>
        <w:jc w:val="both"/>
        <w:rPr/>
      </w:pPr>
      <w:r>
        <w:rPr>
          <w:rFonts w:cs="Calibri"/>
          <w:sz w:val="20"/>
          <w:szCs w:val="20"/>
        </w:rPr>
        <w:t>Precios</w:t>
      </w:r>
      <w:r>
        <w:rPr>
          <w:rFonts w:eastAsia="Arial" w:cs="Calibri"/>
          <w:sz w:val="20"/>
          <w:szCs w:val="20"/>
        </w:rPr>
        <w:t xml:space="preserve"> </w:t>
      </w:r>
      <w:r>
        <w:rPr>
          <w:rFonts w:cs="Calibri"/>
          <w:sz w:val="20"/>
          <w:szCs w:val="20"/>
        </w:rPr>
        <w:t>y</w:t>
      </w:r>
      <w:r>
        <w:rPr>
          <w:rFonts w:eastAsia="Arial" w:cs="Calibri"/>
          <w:sz w:val="20"/>
          <w:szCs w:val="20"/>
        </w:rPr>
        <w:t xml:space="preserve"> </w:t>
      </w:r>
      <w:r>
        <w:rPr>
          <w:rFonts w:cs="Calibri"/>
          <w:sz w:val="20"/>
          <w:szCs w:val="20"/>
        </w:rPr>
        <w:t>taxes</w:t>
      </w:r>
      <w:r>
        <w:rPr>
          <w:rFonts w:eastAsia="Arial" w:cs="Calibri"/>
          <w:sz w:val="20"/>
          <w:szCs w:val="20"/>
        </w:rPr>
        <w:t xml:space="preserve"> </w:t>
      </w:r>
      <w:r>
        <w:rPr>
          <w:rFonts w:cs="Calibri"/>
          <w:sz w:val="20"/>
          <w:szCs w:val="20"/>
        </w:rPr>
        <w:t>actualizados</w:t>
      </w:r>
      <w:r>
        <w:rPr>
          <w:rFonts w:eastAsia="Arial" w:cs="Calibri"/>
          <w:sz w:val="20"/>
          <w:szCs w:val="20"/>
        </w:rPr>
        <w:t xml:space="preserve"> </w:t>
      </w:r>
      <w:r>
        <w:rPr>
          <w:rFonts w:cs="Calibri"/>
          <w:sz w:val="20"/>
          <w:szCs w:val="20"/>
        </w:rPr>
        <w:t>al</w:t>
      </w:r>
      <w:r>
        <w:rPr>
          <w:rFonts w:eastAsia="Arial" w:cs="Calibri"/>
          <w:sz w:val="20"/>
          <w:szCs w:val="20"/>
        </w:rPr>
        <w:t xml:space="preserve"> </w:t>
      </w:r>
      <w:r>
        <w:rPr>
          <w:rFonts w:cs="Calibri"/>
          <w:sz w:val="20"/>
          <w:szCs w:val="20"/>
        </w:rPr>
        <w:t>día</w:t>
      </w:r>
      <w:r>
        <w:rPr>
          <w:rFonts w:eastAsia="Arial" w:cs="Calibri"/>
          <w:sz w:val="20"/>
          <w:szCs w:val="20"/>
        </w:rPr>
        <w:t xml:space="preserve"> 07 de marzo de 2019.</w:t>
      </w:r>
    </w:p>
    <w:p>
      <w:pPr>
        <w:pStyle w:val="NoSpacing"/>
        <w:jc w:val="both"/>
        <w:rPr/>
      </w:pPr>
      <w:r>
        <w:rPr/>
      </w:r>
    </w:p>
    <w:p>
      <w:pPr>
        <w:pStyle w:val="NoSpacing"/>
        <w:jc w:val="both"/>
        <w:rPr/>
      </w:pPr>
      <w:r>
        <w:rPr/>
      </w:r>
    </w:p>
    <w:p>
      <w:pPr>
        <w:pStyle w:val="NoSpacing"/>
        <w:jc w:val="both"/>
        <w:rPr/>
      </w:pPr>
      <w:r>
        <w:rPr/>
      </w:r>
    </w:p>
    <w:sectPr>
      <w:headerReference w:type="default" r:id="rId3"/>
      <w:footerReference w:type="default" r:id="rId4"/>
      <w:type w:val="nextPage"/>
      <w:pgSz w:w="11906" w:h="16838"/>
      <w:pgMar w:left="1418" w:right="1418" w:header="709" w:top="1418" w:footer="709" w:bottom="1418" w:gutter="0"/>
      <w:pgBorders w:display="allPages" w:offsetFrom="page">
        <w:top w:val="thinThickSmallGap" w:sz="18" w:space="27" w:color="943634"/>
        <w:left w:val="thinThickSmallGap" w:sz="18" w:space="27" w:color="943634"/>
        <w:bottom w:val="thickThinSmallGap" w:sz="18" w:space="27" w:color="943634"/>
        <w:right w:val="thickThinSmallGap" w:sz="18" w:space="27" w:color="943634"/>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142" w:hanging="0"/>
      <w:jc w:val="center"/>
      <w:rPr>
        <w:sz w:val="20"/>
        <w:szCs w:val="20"/>
      </w:rPr>
    </w:pPr>
    <w:r>
      <w:rPr>
        <w:sz w:val="20"/>
        <w:szCs w:val="20"/>
      </w:rPr>
    </w:r>
  </w:p>
  <w:p>
    <w:pPr>
      <w:pStyle w:val="Piedepgina"/>
      <w:jc w:val="center"/>
      <w:rPr>
        <w:sz w:val="20"/>
        <w:szCs w:val="20"/>
      </w:rPr>
    </w:pPr>
    <w:r>
      <w:rPr>
        <w:sz w:val="20"/>
        <w:szCs w:val="20"/>
      </w:rPr>
      <w:t>Domireps - Agencia de Viajes Mayorista | Dirección: Avenida Petit Thouars 4229 – Miraflores, Lima - Perú</w:t>
    </w:r>
  </w:p>
  <w:p>
    <w:pPr>
      <w:pStyle w:val="Piedepgina"/>
      <w:ind w:left="-142" w:hanging="0"/>
      <w:jc w:val="center"/>
      <w:rPr>
        <w:sz w:val="20"/>
        <w:szCs w:val="20"/>
      </w:rPr>
    </w:pPr>
    <w:r>
      <w:rPr>
        <w:sz w:val="20"/>
        <w:szCs w:val="20"/>
      </w:rPr>
      <w:t>Teléfono: 6106020 | Emergencia 24 horas 99653558 // promociones@domireps.com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drawing>
        <wp:anchor behindDoc="1" distT="0" distB="0" distL="133350" distR="114300" simplePos="0" locked="0" layoutInCell="1" allowOverlap="1" relativeHeight="5">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l="0" t="20907" r="0"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4"/>
        </w:tabs>
        <w:ind w:left="0" w:hanging="0"/>
      </w:pPr>
      <w:rPr>
        <w:rFonts w:ascii="Wingdings" w:hAnsi="Wingdings" w:cs="Wingdings"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0"/>
        <w:szCs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tabs>
          <w:tab w:val="num" w:pos="998"/>
        </w:tabs>
        <w:ind w:left="998" w:hanging="360"/>
      </w:pPr>
      <w:rPr>
        <w:rFonts w:ascii="Symbol" w:hAnsi="Symbol" w:cs="Symbol" w:hint="default"/>
        <w:rFonts w:cs="OpenSymbol"/>
      </w:rPr>
    </w:lvl>
    <w:lvl w:ilvl="1">
      <w:start w:val="1"/>
      <w:numFmt w:val="bullet"/>
      <w:lvlText w:val="◦"/>
      <w:lvlJc w:val="left"/>
      <w:pPr>
        <w:tabs>
          <w:tab w:val="num" w:pos="1358"/>
        </w:tabs>
        <w:ind w:left="1358" w:hanging="360"/>
      </w:pPr>
      <w:rPr>
        <w:rFonts w:ascii="OpenSymbol" w:hAnsi="OpenSymbol" w:cs="OpenSymbol" w:hint="default"/>
        <w:rFonts w:cs="OpenSymbol"/>
      </w:rPr>
    </w:lvl>
    <w:lvl w:ilvl="2">
      <w:start w:val="1"/>
      <w:numFmt w:val="bullet"/>
      <w:lvlText w:val="▪"/>
      <w:lvlJc w:val="left"/>
      <w:pPr>
        <w:tabs>
          <w:tab w:val="num" w:pos="1718"/>
        </w:tabs>
        <w:ind w:left="1718" w:hanging="360"/>
      </w:pPr>
      <w:rPr>
        <w:rFonts w:ascii="OpenSymbol" w:hAnsi="OpenSymbol" w:cs="OpenSymbol" w:hint="default"/>
        <w:rFonts w:cs="OpenSymbol"/>
      </w:rPr>
    </w:lvl>
    <w:lvl w:ilvl="3">
      <w:start w:val="1"/>
      <w:numFmt w:val="bullet"/>
      <w:lvlText w:val=""/>
      <w:lvlJc w:val="left"/>
      <w:pPr>
        <w:tabs>
          <w:tab w:val="num" w:pos="2078"/>
        </w:tabs>
        <w:ind w:left="2078" w:hanging="360"/>
      </w:pPr>
      <w:rPr>
        <w:rFonts w:ascii="Symbol" w:hAnsi="Symbol" w:cs="Symbol" w:hint="default"/>
        <w:rFonts w:cs="OpenSymbol"/>
      </w:rPr>
    </w:lvl>
    <w:lvl w:ilvl="4">
      <w:start w:val="1"/>
      <w:numFmt w:val="bullet"/>
      <w:lvlText w:val="◦"/>
      <w:lvlJc w:val="left"/>
      <w:pPr>
        <w:tabs>
          <w:tab w:val="num" w:pos="2438"/>
        </w:tabs>
        <w:ind w:left="2438" w:hanging="360"/>
      </w:pPr>
      <w:rPr>
        <w:rFonts w:ascii="OpenSymbol" w:hAnsi="OpenSymbol" w:cs="OpenSymbol" w:hint="default"/>
        <w:rFonts w:cs="OpenSymbol"/>
      </w:rPr>
    </w:lvl>
    <w:lvl w:ilvl="5">
      <w:start w:val="1"/>
      <w:numFmt w:val="bullet"/>
      <w:lvlText w:val="▪"/>
      <w:lvlJc w:val="left"/>
      <w:pPr>
        <w:tabs>
          <w:tab w:val="num" w:pos="2798"/>
        </w:tabs>
        <w:ind w:left="2798" w:hanging="360"/>
      </w:pPr>
      <w:rPr>
        <w:rFonts w:ascii="OpenSymbol" w:hAnsi="OpenSymbol" w:cs="OpenSymbol" w:hint="default"/>
        <w:rFonts w:cs="OpenSymbol"/>
      </w:rPr>
    </w:lvl>
    <w:lvl w:ilvl="6">
      <w:start w:val="1"/>
      <w:numFmt w:val="bullet"/>
      <w:lvlText w:val=""/>
      <w:lvlJc w:val="left"/>
      <w:pPr>
        <w:tabs>
          <w:tab w:val="num" w:pos="3158"/>
        </w:tabs>
        <w:ind w:left="3158" w:hanging="360"/>
      </w:pPr>
      <w:rPr>
        <w:rFonts w:ascii="Symbol" w:hAnsi="Symbol" w:cs="Symbol" w:hint="default"/>
        <w:rFonts w:cs="OpenSymbol"/>
      </w:rPr>
    </w:lvl>
    <w:lvl w:ilvl="7">
      <w:start w:val="1"/>
      <w:numFmt w:val="bullet"/>
      <w:lvlText w:val="◦"/>
      <w:lvlJc w:val="left"/>
      <w:pPr>
        <w:tabs>
          <w:tab w:val="num" w:pos="3518"/>
        </w:tabs>
        <w:ind w:left="3518" w:hanging="360"/>
      </w:pPr>
      <w:rPr>
        <w:rFonts w:ascii="OpenSymbol" w:hAnsi="OpenSymbol" w:cs="OpenSymbol" w:hint="default"/>
        <w:rFonts w:cs="OpenSymbol"/>
      </w:rPr>
    </w:lvl>
    <w:lvl w:ilvl="8">
      <w:start w:val="1"/>
      <w:numFmt w:val="bullet"/>
      <w:lvlText w:val="▪"/>
      <w:lvlJc w:val="left"/>
      <w:pPr>
        <w:tabs>
          <w:tab w:val="num" w:pos="3878"/>
        </w:tabs>
        <w:ind w:left="3878"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1536"/>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eastAsia="zh-CN" w:val="es-PE" w:bidi="ar-SA"/>
    </w:rPr>
  </w:style>
  <w:style w:type="paragraph" w:styleId="Ttulo1">
    <w:name w:val="Heading 1"/>
    <w:basedOn w:val="Normal"/>
    <w:next w:val="Normal"/>
    <w:link w:val="Ttulo1Car"/>
    <w:qFormat/>
    <w:rsid w:val="00aa1536"/>
    <w:pPr>
      <w:keepNext w:val="true"/>
      <w:keepLines/>
      <w:spacing w:before="480" w:after="0"/>
      <w:ind w:left="720" w:hanging="360"/>
      <w:outlineLvl w:val="0"/>
    </w:pPr>
    <w:rPr>
      <w:rFonts w:ascii="Cambria" w:hAnsi="Cambria" w:eastAsia="Times New Roman"/>
      <w:b/>
      <w:bCs/>
      <w:color w:val="365F91"/>
      <w:sz w:val="28"/>
      <w:szCs w:val="28"/>
    </w:rPr>
  </w:style>
  <w:style w:type="character" w:styleId="DefaultParagraphFont" w:default="1">
    <w:name w:val="Default Paragraph Font"/>
    <w:uiPriority w:val="1"/>
    <w:unhideWhenUsed/>
    <w:qFormat/>
    <w:rPr/>
  </w:style>
  <w:style w:type="character" w:styleId="EncabezadoCar" w:customStyle="1">
    <w:name w:val="Encabezado Car"/>
    <w:basedOn w:val="DefaultParagraphFont"/>
    <w:link w:val="Encabezado"/>
    <w:uiPriority w:val="99"/>
    <w:semiHidden/>
    <w:qFormat/>
    <w:rsid w:val="00e45900"/>
    <w:rPr/>
  </w:style>
  <w:style w:type="character" w:styleId="PiedepginaCar" w:customStyle="1">
    <w:name w:val="Pie de página Car"/>
    <w:basedOn w:val="DefaultParagraphFont"/>
    <w:link w:val="Piedepgina"/>
    <w:qFormat/>
    <w:rsid w:val="00e45900"/>
    <w:rPr/>
  </w:style>
  <w:style w:type="character" w:styleId="TextodegloboCar" w:customStyle="1">
    <w:name w:val="Texto de globo Car"/>
    <w:basedOn w:val="DefaultParagraphFont"/>
    <w:link w:val="Textodeglobo"/>
    <w:uiPriority w:val="99"/>
    <w:semiHidden/>
    <w:qFormat/>
    <w:rsid w:val="00e45900"/>
    <w:rPr>
      <w:rFonts w:ascii="Tahoma" w:hAnsi="Tahoma" w:cs="Tahoma"/>
      <w:sz w:val="16"/>
      <w:szCs w:val="16"/>
    </w:rPr>
  </w:style>
  <w:style w:type="character" w:styleId="SinespaciadoCar" w:customStyle="1">
    <w:name w:val="Sin espaciado Car"/>
    <w:link w:val="Sinespaciado"/>
    <w:qFormat/>
    <w:rsid w:val="00bb7b52"/>
    <w:rPr>
      <w:rFonts w:ascii="Calibri" w:hAnsi="Calibri" w:eastAsia="Calibri" w:cs="Times New Roman"/>
    </w:rPr>
  </w:style>
  <w:style w:type="character" w:styleId="Ttulo1Car" w:customStyle="1">
    <w:name w:val="Título 1 Car"/>
    <w:basedOn w:val="DefaultParagraphFont"/>
    <w:link w:val="Ttulo1"/>
    <w:qFormat/>
    <w:rsid w:val="00aa1536"/>
    <w:rPr>
      <w:rFonts w:ascii="Cambria" w:hAnsi="Cambria" w:eastAsia="Times New Roman" w:cs="Times New Roman"/>
      <w:b/>
      <w:bCs/>
      <w:color w:val="365F91"/>
      <w:sz w:val="28"/>
      <w:szCs w:val="28"/>
      <w:lang w:eastAsia="zh-CN"/>
    </w:rPr>
  </w:style>
  <w:style w:type="character" w:styleId="EnlacedeInternet">
    <w:name w:val="Enlace de Internet"/>
    <w:basedOn w:val="DefaultParagraphFont"/>
    <w:rsid w:val="00aa1536"/>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OpenSymbo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sz w:val="20"/>
      <w:szCs w:val="20"/>
    </w:rPr>
  </w:style>
  <w:style w:type="character" w:styleId="ListLabel13">
    <w:name w:val="ListLabel 13"/>
    <w:qFormat/>
    <w:rPr>
      <w:rFonts w:cs="Wingdings"/>
      <w:lang w:val="es-ES_tradnl"/>
    </w:rPr>
  </w:style>
  <w:style w:type="character" w:styleId="ListLabel14">
    <w:name w:val="ListLabel 14"/>
    <w:qFormat/>
    <w:rPr>
      <w:rFonts w:cs="Wingdings"/>
    </w:rPr>
  </w:style>
  <w:style w:type="character" w:styleId="ListLabel15">
    <w:name w:val="ListLabel 15"/>
    <w:qFormat/>
    <w:rPr>
      <w:rFonts w:cs="Wingdings"/>
      <w:lang w:val="es-ES_tradnl"/>
    </w:rPr>
  </w:style>
  <w:style w:type="character" w:styleId="ListLabel16">
    <w:name w:val="ListLabel 16"/>
    <w:qFormat/>
    <w:rPr>
      <w:rFonts w:cs="Wingdings"/>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OpenSymbol"/>
      <w:b/>
      <w:sz w:val="20"/>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semiHidden/>
    <w:unhideWhenUsed/>
    <w:rsid w:val="00e45900"/>
    <w:pPr>
      <w:tabs>
        <w:tab w:val="center" w:pos="4419" w:leader="none"/>
        <w:tab w:val="right" w:pos="8838" w:leader="none"/>
      </w:tabs>
      <w:spacing w:lineRule="auto" w:line="240" w:before="0" w:after="0"/>
    </w:pPr>
    <w:rPr/>
  </w:style>
  <w:style w:type="paragraph" w:styleId="Piedepgina">
    <w:name w:val="Footer"/>
    <w:basedOn w:val="Normal"/>
    <w:link w:val="PiedepginaCar"/>
    <w:unhideWhenUsed/>
    <w:rsid w:val="00e45900"/>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e45900"/>
    <w:pPr>
      <w:spacing w:lineRule="auto" w:line="240" w:before="0" w:after="0"/>
    </w:pPr>
    <w:rPr>
      <w:rFonts w:ascii="Tahoma" w:hAnsi="Tahoma" w:cs="Tahoma"/>
      <w:sz w:val="16"/>
      <w:szCs w:val="16"/>
    </w:rPr>
  </w:style>
  <w:style w:type="paragraph" w:styleId="NoSpacing">
    <w:name w:val="No Spacing"/>
    <w:link w:val="SinespaciadoCar"/>
    <w:qFormat/>
    <w:rsid w:val="00bb7b52"/>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s-PE" w:eastAsia="en-US" w:bidi="ar-SA"/>
    </w:rPr>
  </w:style>
  <w:style w:type="paragraph" w:styleId="NormalWeb">
    <w:name w:val="Normal (Web)"/>
    <w:basedOn w:val="Normal"/>
    <w:uiPriority w:val="99"/>
    <w:unhideWhenUsed/>
    <w:qFormat/>
    <w:rsid w:val="00ee0f8f"/>
    <w:pPr>
      <w:spacing w:lineRule="auto" w:line="240" w:beforeAutospacing="1" w:afterAutospacing="1"/>
    </w:pPr>
    <w:rPr>
      <w:rFonts w:ascii="Times New Roman" w:hAnsi="Times New Roman" w:eastAsia="Times New Roman"/>
      <w:sz w:val="24"/>
      <w:szCs w:val="24"/>
      <w:lang w:eastAsia="es-PE"/>
    </w:rPr>
  </w:style>
  <w:style w:type="paragraph" w:styleId="ListParagraph">
    <w:name w:val="List Paragraph"/>
    <w:basedOn w:val="Normal"/>
    <w:qFormat/>
    <w:rsid w:val="00f75be1"/>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Listaclara">
    <w:name w:val="Light List"/>
    <w:basedOn w:val="Tablanormal"/>
    <w:uiPriority w:val="61"/>
    <w:rsid w:val="004c2373"/>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Sombreadomedio2">
    <w:name w:val="Medium Shading 2"/>
    <w:basedOn w:val="Tablanormal"/>
    <w:uiPriority w:val="64"/>
    <w:rsid w:val="004c2373"/>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LibreOffice/6.0.7.3$Windows_X86_64 LibreOffice_project/dc89aa7a9eabfd848af146d5086077aeed2ae4a5</Application>
  <Pages>4</Pages>
  <Words>1427</Words>
  <Characters>7394</Characters>
  <CharactersWithSpaces>8726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2019-03-07T22:42:00Z</dcterms:created>
  <dc:creator>Claudia Mora</dc:creator>
  <dc:description/>
  <dc:language>es-PE</dc:language>
  <cp:lastModifiedBy/>
  <dcterms:modified xsi:type="dcterms:W3CDTF">2019-03-15T10:53:16Z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